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25"/>
          <w:szCs w:val="25"/>
          <w:lang w:eastAsia="it-IT"/>
        </w:rPr>
      </w:pP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25"/>
          <w:szCs w:val="25"/>
          <w:lang w:eastAsia="it-IT"/>
        </w:rPr>
      </w:pPr>
      <w:r w:rsidRPr="00805930">
        <w:rPr>
          <w:rFonts w:ascii="Verdana" w:eastAsia="Times New Roman" w:hAnsi="Verdana" w:cs="Times New Roman"/>
          <w:b/>
          <w:bCs/>
          <w:color w:val="333333"/>
          <w:sz w:val="25"/>
          <w:lang w:eastAsia="it-IT"/>
        </w:rPr>
        <w:t>Sentenza 17 ottobre 2014, n. 22111</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Svolgimento del processo e motivi della decisione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All’esito del rigetto della domanda di protezione internazionale da pane della Commissione territoriale di Torino, sez. distaccata di Bologna, il cittadino nigeriano A.D. proponeva ricorso davanti al Tribunale chiedendo il riconoscimento dello status di rifugiato, in subordine della protezione sussidiaria ed in via ancora più </w:t>
      </w:r>
      <w:proofErr w:type="spellStart"/>
      <w:r w:rsidRPr="00805930">
        <w:rPr>
          <w:rFonts w:ascii="Verdana" w:eastAsia="Times New Roman" w:hAnsi="Verdana" w:cs="Times New Roman"/>
          <w:color w:val="333333"/>
          <w:sz w:val="19"/>
          <w:szCs w:val="19"/>
          <w:lang w:eastAsia="it-IT"/>
        </w:rPr>
        <w:t>gradata</w:t>
      </w:r>
      <w:proofErr w:type="spellEnd"/>
      <w:r w:rsidRPr="00805930">
        <w:rPr>
          <w:rFonts w:ascii="Verdana" w:eastAsia="Times New Roman" w:hAnsi="Verdana" w:cs="Times New Roman"/>
          <w:color w:val="333333"/>
          <w:sz w:val="19"/>
          <w:szCs w:val="19"/>
          <w:lang w:eastAsia="it-IT"/>
        </w:rPr>
        <w:t xml:space="preserve"> dell’asilo e della protezione umanitaria. Il giudice di primo grado accoglieva la domanda di protezione sussidiaria. Su impugnazione del Ministero dell’interno la Corte d’appello, in accoglimento della medesima, rigettava la domanda di protezione internazionale sulla base delle seguenti argomentazioni:</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a) L’art. 3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251 del 2007 richiede che le dichiarazioni del cittadino straniero siano credibili. Nella specie invece le predette dichiarazioni erano generiche, ripetitive, non suffragate da prove ed inverosimili. Il cittadino straniero aveva dichiarato che il padre faceva parte di una società segreta ed alla sua morte era stato perseguitato da membri di questa società per metterlo al suo posto.</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b) Il cittadino straniero aveva risieduto a </w:t>
      </w:r>
      <w:proofErr w:type="spellStart"/>
      <w:r w:rsidRPr="00805930">
        <w:rPr>
          <w:rFonts w:ascii="Verdana" w:eastAsia="Times New Roman" w:hAnsi="Verdana" w:cs="Times New Roman"/>
          <w:color w:val="333333"/>
          <w:sz w:val="19"/>
          <w:szCs w:val="19"/>
          <w:lang w:eastAsia="it-IT"/>
        </w:rPr>
        <w:t>B.C.</w:t>
      </w:r>
      <w:proofErr w:type="spellEnd"/>
      <w:r w:rsidRPr="00805930">
        <w:rPr>
          <w:rFonts w:ascii="Verdana" w:eastAsia="Times New Roman" w:hAnsi="Verdana" w:cs="Times New Roman"/>
          <w:color w:val="333333"/>
          <w:sz w:val="19"/>
          <w:szCs w:val="19"/>
          <w:lang w:eastAsia="it-IT"/>
        </w:rPr>
        <w:t xml:space="preserve"> per due anni senza problemi e persecuzioni;</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c) Il cittadino straniero non aveva collegato i fatti di persecuzione descritti con la situazione di violenza generalizzata della Nigeria.</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d) Non potevano ritenersi sussistenti i requisiti per il riconoscimento della protezione sussidiaria dal momento che il richiedente aveva riferito soltanto fatti relativi ad asserite violenze e minacce strettamente personali.</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e) Le domande subordinate erano del pari infondate. L’asilo perché riconducibile esclusivamente al diritto di accedere nel nostro territorio per richiedere protezione internazionale; la protezione umanitaria per la carenza totale delle ragioni di riconoscimento della protezione internazionale, essendo, peraltro, mancata, la allegazione di ragioni diverse.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Avverso tale pronuncia ha proposto ricorso per cassazione il cittadino straniero affidandosi ai seguenti due motivi:</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Con il primo motivo è stata dedotta la violazione degli artt. 2, 3, 5, 6 e 14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251 del 2007 ed 8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 del 2008 oltre al vizio di motivazione, per avere la Corte d’Appello fondato la propria valutazione negativa in ordine alla credibilità della narrazione del ricorrente su parametri diversi da quelli normativi ed in particolare dalla ripetitività del racconto, senza tener conto ed approfondire officiosamente, come sarebbe stata tenuta a fare, la situazione relativa all’esistenza e diffusione di sette o società segrete in Nigeria ed al loro potere di controllo sociale del territorio. In particolare, precisa la parte ricorrente Corte d’Appello non ha valutato la credibilità del ricorrente </w:t>
      </w:r>
      <w:r w:rsidRPr="00805930">
        <w:rPr>
          <w:rFonts w:ascii="Verdana" w:eastAsia="Times New Roman" w:hAnsi="Verdana" w:cs="Times New Roman"/>
          <w:color w:val="333333"/>
          <w:sz w:val="19"/>
          <w:szCs w:val="19"/>
          <w:lang w:eastAsia="it-IT"/>
        </w:rPr>
        <w:lastRenderedPageBreak/>
        <w:t>sulla base dei riscontri oggettivi relativi alla situazione generale in Nigeria, provenienti dalle allegazioni e produzioni della parte oltre che acquisite officiosamente da parte del giudice di primo grado.</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Non è stata tenuta in considerazione la natura politica delle persecuzioni denunciate, sfociate nell’uccisione del padre e del fratello del ricorrente e maturate proprio nel contesto di violenza diffusa ed incontrollabile che caratterizza l’area territoriale di origine del medesimo, peraltro alimentata anche dalle forze di polizia e dalle forze di sicurezza che operano, secondo il rapporto di A.I. numerose esecuzioni illegali. La Corte d’Appello, in conclusione non ha calato la vicenda personale del ricorrente, nella situazione generale, ritenendola non credibile e comunque non coerente con i fatti produttivi di misure di protezione internazionale, non considerando che il pericolo per la propria incolumità e la fuga, prima all’interno del suo paese e poi all’estero è stata dettata proprio dal rifiuto dì affiliarsi ad una setta segreta di natura politica.</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Infine non è stato considerato il fermo orientamento della Corte di Giustizia secondo il quale maggiore è il grado di violenza diffuso ed indiscriminato minore è la necessità di provare la personalizzazione specifica del rischio, con conseguente obbligatorietà di conoscere ed accertare le condizioni generali del paese dal quale il cittadino straniero è fuggito. Il paese di provenienza del cittadino straniero, P.S., fa parte del delta del Niger, ovvero di un’area che nel rapporto Amnesty del 2013 viene ritenuto ad alto potenziale di criminalità politica e comune, con inadeguato controllo delle istituzioni le cui forze speciali al contrario sono autrici di violenze e lesioni dei diritti umani.</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Nel secondo motivo viene dedotta la violazione dell’art. 5 comma sesto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286 del 1998, per non avere la Corte d’Appello esaminato la ricorrenza dei requisiti per la protezione umanitaria, ritenendo erroneamente che l’assenza delle ragioni per il riconoscimento delle misure maggiori escludesse l’accesso a quella residuale. In particolare la Corte d’Appello ha omesso di verificare la sussistenza di un obbligo costituzionale od internazionale a fornire protezione in capo a persone che fuggono da paese nei quali vi siano sconvolgimenti sociali tali da impedire una vita senza pericoli per la propria vita od incolumità. In particolare la parte ricorrente evidenzia che il cittadino straniero è stato costretto a fuggire dalla Libia dove si era rifugiato a causa della guerra civile della primavera del 2011, dopo avervi vissuto e lavorato per cinque anni. Nella primavera del 2011 è stata riconosciuta l’esistenza di un’emergenza umanitaria ed il diritto al rilascio di un permesso di soggiorno per motivi umanitari per le persone in fuga dalla Libia con i </w:t>
      </w:r>
      <w:proofErr w:type="spellStart"/>
      <w:r w:rsidRPr="00805930">
        <w:rPr>
          <w:rFonts w:ascii="Verdana" w:eastAsia="Times New Roman" w:hAnsi="Verdana" w:cs="Times New Roman"/>
          <w:color w:val="333333"/>
          <w:sz w:val="19"/>
          <w:szCs w:val="19"/>
          <w:lang w:eastAsia="it-IT"/>
        </w:rPr>
        <w:t>D.P.C.M.</w:t>
      </w:r>
      <w:proofErr w:type="spellEnd"/>
      <w:r w:rsidRPr="00805930">
        <w:rPr>
          <w:rFonts w:ascii="Verdana" w:eastAsia="Times New Roman" w:hAnsi="Verdana" w:cs="Times New Roman"/>
          <w:color w:val="333333"/>
          <w:sz w:val="19"/>
          <w:szCs w:val="19"/>
          <w:lang w:eastAsia="it-IT"/>
        </w:rPr>
        <w:t xml:space="preserve"> 5/4/2011 e 6/10/2011 proprio per la gravità della situazione in quel paese. Il ricorrente solo perché non arrivato al 5/4/2011 in Italia non ha potuto usufruire di tale permesso, ovvero per ragioni meramente cronologiche pur sussistendo la medesima condizione oggettiva di partenza.</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Preliminarmente deve essere dichiarata l’inammissibilità delle censure proposte ex art. 360 n. 5 cod. proc. civ. in quanto non prospettate secondo la nuova, più restrittiva formulazione del cd. vizio di motivazione, applicabile a tutti i ricorsi per cassazione avverso sentenze od altri provvedimenti pubblicati dal trentesimo giorno successivo all’entrata in vigore della legge di conversione (n. 134 del 2012) del d.l. 83 del 2012. Poiché tale legge è stata pubblicata nella G.U. del giorno 11 agosto 2012 ed è entrata in vigore il giorno successivo a quello della sua pubblicazione, il novellato art. </w:t>
      </w:r>
      <w:r w:rsidRPr="00805930">
        <w:rPr>
          <w:rFonts w:ascii="Verdana" w:eastAsia="Times New Roman" w:hAnsi="Verdana" w:cs="Times New Roman"/>
          <w:color w:val="333333"/>
          <w:sz w:val="19"/>
          <w:szCs w:val="19"/>
          <w:lang w:eastAsia="it-IT"/>
        </w:rPr>
        <w:lastRenderedPageBreak/>
        <w:t>360 n. 5 cod. proc. civ., è applicabile alle sentenze o altri provvedimenti pubblicati dal giorno 11 settembre 2012. La sentenza impugnata è stata pubblicata nel 2013.</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Le sezioni Unite di questa Corte con la sentenza n. 8053 del 2014 hanno stabilito che “La riformulazione dell’art. 360, primo comma, n. 5, cod. proc. civ., disposta dall’art. 54 del d.l. 22 giugno 2012, n. 83, </w:t>
      </w:r>
      <w:proofErr w:type="spellStart"/>
      <w:r w:rsidRPr="00805930">
        <w:rPr>
          <w:rFonts w:ascii="Verdana" w:eastAsia="Times New Roman" w:hAnsi="Verdana" w:cs="Times New Roman"/>
          <w:color w:val="333333"/>
          <w:sz w:val="19"/>
          <w:szCs w:val="19"/>
          <w:lang w:eastAsia="it-IT"/>
        </w:rPr>
        <w:t>conv</w:t>
      </w:r>
      <w:proofErr w:type="spellEnd"/>
      <w:r w:rsidRPr="00805930">
        <w:rPr>
          <w:rFonts w:ascii="Verdana" w:eastAsia="Times New Roman" w:hAnsi="Verdana" w:cs="Times New Roman"/>
          <w:color w:val="333333"/>
          <w:sz w:val="19"/>
          <w:szCs w:val="19"/>
          <w:lang w:eastAsia="it-IT"/>
        </w:rPr>
        <w:t xml:space="preserve">. in legge 7 agosto 2012, n. 134, deve essere interpretata, alla luce dei canoni ermeneutici dettati dall’art. 12 delle </w:t>
      </w:r>
      <w:proofErr w:type="spellStart"/>
      <w:r w:rsidRPr="00805930">
        <w:rPr>
          <w:rFonts w:ascii="Verdana" w:eastAsia="Times New Roman" w:hAnsi="Verdana" w:cs="Times New Roman"/>
          <w:color w:val="333333"/>
          <w:sz w:val="19"/>
          <w:szCs w:val="19"/>
          <w:lang w:eastAsia="it-IT"/>
        </w:rPr>
        <w:t>preleggi</w:t>
      </w:r>
      <w:proofErr w:type="spellEnd"/>
      <w:r w:rsidRPr="00805930">
        <w:rPr>
          <w:rFonts w:ascii="Verdana" w:eastAsia="Times New Roman" w:hAnsi="Verdana" w:cs="Times New Roman"/>
          <w:color w:val="333333"/>
          <w:sz w:val="19"/>
          <w:szCs w:val="19"/>
          <w:lang w:eastAsia="it-IT"/>
        </w:rPr>
        <w:t>, come ridurne al “minimo costituzionale” del sindacato di legittimità sulla motivatone. Pertanto, è denunciarle in cassatone solo l’anomalia motivazionale che si tramuta in violazione di legge costituzionalmente rilevante, in quanto attinente all’esistenza della motivazione in sé, purché il vizio risulti dal testo della sentenza impugnata, a prescindere dal confronto con le risultanze processuali. Tale anomalia si esaurisce nella “mancanza assoluta di motivi sotto l’aspetto materiale e grafico”, nella “motivazione apparente”, nel “contrasto irriducibile tra affermazioni inconciliabili” e nella “motivazione perplessa ed obiettivamente incomprensibile”, esclusa qualunque rilevanza del semplice difetto di “sufficienza” della motivazione”.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Hanno inoltre chiarito che il vizio si riferisce “all’omesso esame di un fatto storico, principale o secondario, la cui esistenza risulti dal testo della sentenza o dagli atti processuali, che abbia costituito oggetto di discussione tra le parti, e abbia carattere decisivo (vale a dire che, se esaminato, avrebbe determinato un esito diverso della controversia). Ne consegue che, nel rigoroso rispetto delle previsioni degli artt. 366, primo comma, n. 6, e 369, secondo comma, n. 4, cod. proc. civ., il ricorrente deve indicare il “fatto storico”, il cui esame sia stato omesso, il “dato”, testuale o extratestuale, da cui esso risulti esistente, il “come” e il “quando” tale fatto sia stato oggetto di discussione processuale tra le parti e la sua “decisività”, fermo restando che l’omesso esame di elementi istruttori non integra, di per sé, il vizio di omesso esame di un fatto decisivo qualora il fatto storico, rilevante in causa, sia stato comunque preso in considerazione dal giudice, ancorché la sentenza non abbia dato conto di tutte le risultanze probatorie”.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Le censure contenute nei due motivi di ricorso ex art. 360 n. 5 cod. proc. civ. non si attengono ai criteri sopra delineati, rimanendo ancorate ai parametri della insufficienza e contraddittorietà della motivazione.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Devono, in conclusione, essere affrontate esclusivamente le censure relative alle denunciate violazioni di legge ex art. 360 n. 3 cod. proc. civ.</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a) Il primo motivo di ricorso è fondato sotto entrambi i profili prospettati. In primo luogo, la valutazione di credibilità delle dichiarazioni del cittadino straniero deve avvenire sulla base dei criteri indicati dall’art. 3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251 del 2007. Tali criteri sono: la verifica dell’effettuazione di ogni ragionevole sforzo per circostanziare la domanda; la deduzione di un’idonea motivazione sull’assenza di riscontri oggettivi; la non contraddittorietà delle dichiarazioni rispetto alla situazione del paese; la presentazione tempestiva della domanda; l’attendibilità intrinseca (Cass. 16202 del 2012). Nella specie la sentenza impugnata ha fondato la sua valutazione negativa sull’affidabilità delle dichiarazioni del ricorrente sostanzialmente sul criterio della “ripetitività” non previsto dalla </w:t>
      </w:r>
      <w:r w:rsidRPr="00805930">
        <w:rPr>
          <w:rFonts w:ascii="Verdana" w:eastAsia="Times New Roman" w:hAnsi="Verdana" w:cs="Times New Roman"/>
          <w:color w:val="333333"/>
          <w:sz w:val="19"/>
          <w:szCs w:val="19"/>
          <w:lang w:eastAsia="it-IT"/>
        </w:rPr>
        <w:lastRenderedPageBreak/>
        <w:t>norma in quanto non ricollegabile né all’onere probatorio, né alla valutazione della intrinseca logicità e non contraddittorietà né ai requisiti esterni della tempestività della domanda e della mancanza di riscontri sulle condizioni generali del paese. A tale ultimo riguardo, contrariamente a quanto affermato nella sentenza impugnata, il ricorrente fin dal primo grado ha fornito documentazione sulla condizione di violenza indiscriminata e non controllata dalle autorità di pubblica sicurezza del luogo di origine del cittadino straniero. Deve, pertanto, ritenersi integrato anche il tentativo di offrire nei limiti del possibile un supporto probatorio alla gravità della situazione descritta, ancorché non direttamente centrato sulla peculiare tipologia di pericolo (minaccia di morte derivante da rifiuto di affiliazione a società politica segreta) descritto dal ricorrente. Deve, inoltre, osservarsi, che la ripetitività delle ragioni di fuga dei richiedenti protezione internazionale od umanitaria frequentemente sono simili per gruppi provenienti da aree o contesti socio-politici o religiosi demarcate da elevata conflittualità come il delta del Niger. Ne consegue che la “ripetitività”, lungi dall’integrare un criterio normativo di credibilità impone ancor più rigorosamente l’esame delle condizioni oggettive del paese, soprattutto se, come nella specie, la parte ne abbia fornito un riscontro documentale ancorché parziale.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Sotto quest’ultimo profilo la sentenza impugnata giustifica la mancanza di approfondimento istruttorio officioso sulla base della carenza di riferimenti al contesto generale del paese nelle dichiarazioni del ricorrente. Al riguardo deve osservarsi che quest’ultimo ha provveduto a documentare la condizione di violenza indiscriminata nel proprio paese ed a fornire la </w:t>
      </w:r>
      <w:proofErr w:type="spellStart"/>
      <w:r w:rsidRPr="00805930">
        <w:rPr>
          <w:rFonts w:ascii="Verdana" w:eastAsia="Times New Roman" w:hAnsi="Verdana" w:cs="Times New Roman"/>
          <w:color w:val="333333"/>
          <w:sz w:val="19"/>
          <w:szCs w:val="19"/>
          <w:lang w:eastAsia="it-IT"/>
        </w:rPr>
        <w:t>prospettazione</w:t>
      </w:r>
      <w:proofErr w:type="spellEnd"/>
      <w:r w:rsidRPr="00805930">
        <w:rPr>
          <w:rFonts w:ascii="Verdana" w:eastAsia="Times New Roman" w:hAnsi="Verdana" w:cs="Times New Roman"/>
          <w:color w:val="333333"/>
          <w:sz w:val="19"/>
          <w:szCs w:val="19"/>
          <w:lang w:eastAsia="it-IT"/>
        </w:rPr>
        <w:t xml:space="preserve"> di una situazione di pericolo per la propria incolumità maturata dopo l’omicidio del padre e del fratello, aggiungendo di essere dovuto fuggire prima a </w:t>
      </w:r>
      <w:proofErr w:type="spellStart"/>
      <w:r w:rsidRPr="00805930">
        <w:rPr>
          <w:rFonts w:ascii="Verdana" w:eastAsia="Times New Roman" w:hAnsi="Verdana" w:cs="Times New Roman"/>
          <w:color w:val="333333"/>
          <w:sz w:val="19"/>
          <w:szCs w:val="19"/>
          <w:lang w:eastAsia="it-IT"/>
        </w:rPr>
        <w:t>B.C.</w:t>
      </w:r>
      <w:proofErr w:type="spellEnd"/>
      <w:r w:rsidRPr="00805930">
        <w:rPr>
          <w:rFonts w:ascii="Verdana" w:eastAsia="Times New Roman" w:hAnsi="Verdana" w:cs="Times New Roman"/>
          <w:color w:val="333333"/>
          <w:sz w:val="19"/>
          <w:szCs w:val="19"/>
          <w:lang w:eastAsia="it-IT"/>
        </w:rPr>
        <w:t xml:space="preserve"> e, successivamente, fuori della Nigeria. A questa narrazione ha aggiunto l’allegazione e produzione, fin dal primo grado del giudizio, di una situazione generale descritta come di violenza indiscriminata e di assenza di controllo ed intervento dei poteri statuali e delle autorità di pubblica sicurezza. Attraverso la documentazione prodotta, integrata ex art. 8 dal giudice di primo grado con quella proveniente dai siti del Ministero degli Esteri, anche il parametro della non contraddittorietà della narrazione con la situazione generale richiesto dall’art. 3 sopra citato, risulta verificabile. La Corte d’Appello, di conseguenza, ha violato sia l’art. 3 che l’art. 8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251 del 2007, nel ritenere che la situazione di pericolo personale rappresentata dal ricorrente fosse disancorata dal contesto generale del paese e per questo estranea all’ambito della protezione internazionale, dal momento che il ricorrente ha rappresentato la propria condizione soggettiva di pericolo sostenendola con l’allegazione e produzione di documentazione relativa alla situazione generale. Non è, in conclusione, comprensibile quale sia il deficit </w:t>
      </w:r>
      <w:proofErr w:type="spellStart"/>
      <w:r w:rsidRPr="00805930">
        <w:rPr>
          <w:rFonts w:ascii="Verdana" w:eastAsia="Times New Roman" w:hAnsi="Verdana" w:cs="Times New Roman"/>
          <w:color w:val="333333"/>
          <w:sz w:val="19"/>
          <w:szCs w:val="19"/>
          <w:lang w:eastAsia="it-IT"/>
        </w:rPr>
        <w:t>allegativo</w:t>
      </w:r>
      <w:proofErr w:type="spellEnd"/>
      <w:r w:rsidRPr="00805930">
        <w:rPr>
          <w:rFonts w:ascii="Verdana" w:eastAsia="Times New Roman" w:hAnsi="Verdana" w:cs="Times New Roman"/>
          <w:color w:val="333333"/>
          <w:sz w:val="19"/>
          <w:szCs w:val="19"/>
          <w:lang w:eastAsia="it-IT"/>
        </w:rPr>
        <w:t xml:space="preserve"> in concreto che ha indotto la Corte d’Appello a non provvedere al doveroso accertamento officioso della veridicità della situazione di rischio rappresentata, ove non ritenuto sufficiente quello già fornito dalla parte e integrato dal giudice di primo grado, perché incompleto sotto il profilo dell’esistenza, operatività e pericolosità delle sette politiche segrete quale quella descritta dal ricorrente.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A tale riguardo, deve, infine, osservarsi che, come indicato dalla Corte di Giustizia (sentenza n. 172 del 2009, Caso </w:t>
      </w:r>
      <w:proofErr w:type="spellStart"/>
      <w:r w:rsidRPr="00805930">
        <w:rPr>
          <w:rFonts w:ascii="Verdana" w:eastAsia="Times New Roman" w:hAnsi="Verdana" w:cs="Times New Roman"/>
          <w:color w:val="333333"/>
          <w:sz w:val="19"/>
          <w:szCs w:val="19"/>
          <w:lang w:eastAsia="it-IT"/>
        </w:rPr>
        <w:t>Elgafaji</w:t>
      </w:r>
      <w:proofErr w:type="spellEnd"/>
      <w:r w:rsidRPr="00805930">
        <w:rPr>
          <w:rFonts w:ascii="Verdana" w:eastAsia="Times New Roman" w:hAnsi="Verdana" w:cs="Times New Roman"/>
          <w:color w:val="333333"/>
          <w:sz w:val="19"/>
          <w:szCs w:val="19"/>
          <w:lang w:eastAsia="it-IT"/>
        </w:rPr>
        <w:t xml:space="preserve"> contro Paesi Bassi, principio ribadito con riferimento alla definizione di conflitto armato interno nella successiva sentenza del 30/1/2014 Caso </w:t>
      </w:r>
      <w:proofErr w:type="spellStart"/>
      <w:r w:rsidRPr="00805930">
        <w:rPr>
          <w:rFonts w:ascii="Verdana" w:eastAsia="Times New Roman" w:hAnsi="Verdana" w:cs="Times New Roman"/>
          <w:color w:val="333333"/>
          <w:sz w:val="19"/>
          <w:szCs w:val="19"/>
          <w:lang w:eastAsia="it-IT"/>
        </w:rPr>
        <w:t>Diakitè</w:t>
      </w:r>
      <w:proofErr w:type="spellEnd"/>
      <w:r w:rsidRPr="00805930">
        <w:rPr>
          <w:rFonts w:ascii="Verdana" w:eastAsia="Times New Roman" w:hAnsi="Verdana" w:cs="Times New Roman"/>
          <w:color w:val="333333"/>
          <w:sz w:val="19"/>
          <w:szCs w:val="19"/>
          <w:lang w:eastAsia="it-IT"/>
        </w:rPr>
        <w:t xml:space="preserve"> n. 285- 12) rifugio </w:t>
      </w:r>
      <w:r w:rsidRPr="00805930">
        <w:rPr>
          <w:rFonts w:ascii="Verdana" w:eastAsia="Times New Roman" w:hAnsi="Verdana" w:cs="Times New Roman"/>
          <w:color w:val="333333"/>
          <w:sz w:val="19"/>
          <w:szCs w:val="19"/>
          <w:lang w:eastAsia="it-IT"/>
        </w:rPr>
        <w:lastRenderedPageBreak/>
        <w:t xml:space="preserve">politico e protezione sussidiaria si distinguono proprio per il differente grado di personalizzazione del rischio che deve essere accertato, sia con riferimento alle ipotesi descritte alle lettere a) e b) dell’art. 14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251 del 2007 (pericolo di morte o trattamenti inumani e degradanti), sia nell’ipotesi di cui alla lettera C). In particolare, nel caso </w:t>
      </w:r>
      <w:proofErr w:type="spellStart"/>
      <w:r w:rsidRPr="00805930">
        <w:rPr>
          <w:rFonts w:ascii="Verdana" w:eastAsia="Times New Roman" w:hAnsi="Verdana" w:cs="Times New Roman"/>
          <w:color w:val="333333"/>
          <w:sz w:val="19"/>
          <w:szCs w:val="19"/>
          <w:lang w:eastAsia="it-IT"/>
        </w:rPr>
        <w:t>Elgafaji</w:t>
      </w:r>
      <w:proofErr w:type="spellEnd"/>
      <w:r w:rsidRPr="00805930">
        <w:rPr>
          <w:rFonts w:ascii="Verdana" w:eastAsia="Times New Roman" w:hAnsi="Verdana" w:cs="Times New Roman"/>
          <w:color w:val="333333"/>
          <w:sz w:val="19"/>
          <w:szCs w:val="19"/>
          <w:lang w:eastAsia="it-IT"/>
        </w:rPr>
        <w:t>, la Corte ha affermato che: “l’esistenza di una minaccia grave e individuale alla vita o alla persona del richiedente la protesone sussidiaria non è subordinata alla condizione che quest’ultimo fornisca la prova che egli è interessato in modo specifico a motivo di elementi peculiari della sua situatone personale;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l’esistenza di una siffatta minaccia può essere considerata, in via eccezionale, provata qualora il grado di violenza indiscriminata che caratterizza il conflitto armato in corso, valutato dalle autorità nazionali competenti impegnate con una domanda di protezione sussidiaria o dai giudici di uno Stato membro, raggiunga un livello così elevato che sussistono fondati motivi di ritenere che un civile rientrato nel paese o nella regione in questione correrebbe, per la sua sola presenza sul territorio, un rischio effettivo di subire la detta minaccia.</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Alla luce dei principi esposti dalla Corte di Giustizia, all’osservanza dei quali si è tenuti in virtù del vincolo dell’interpretazione conforme, deve ritenersi che, come già affermato da questa Corte (Cass. 8281 del 2013; 6504 del 2014; 15466 del 2014), il collegamento tra la </w:t>
      </w:r>
      <w:proofErr w:type="spellStart"/>
      <w:r w:rsidRPr="00805930">
        <w:rPr>
          <w:rFonts w:ascii="Verdana" w:eastAsia="Times New Roman" w:hAnsi="Verdana" w:cs="Times New Roman"/>
          <w:color w:val="333333"/>
          <w:sz w:val="19"/>
          <w:szCs w:val="19"/>
          <w:lang w:eastAsia="it-IT"/>
        </w:rPr>
        <w:t>prospettazione</w:t>
      </w:r>
      <w:proofErr w:type="spellEnd"/>
      <w:r w:rsidRPr="00805930">
        <w:rPr>
          <w:rFonts w:ascii="Verdana" w:eastAsia="Times New Roman" w:hAnsi="Verdana" w:cs="Times New Roman"/>
          <w:color w:val="333333"/>
          <w:sz w:val="19"/>
          <w:szCs w:val="19"/>
          <w:lang w:eastAsia="it-IT"/>
        </w:rPr>
        <w:t xml:space="preserve"> individuale del rischio e la situazione di violenza indiscriminata o di conflitto armato nel paese di ritorno può non essere diretto e specifico, soprattutto quando, come nella specie, la parte richiedente abbia comunque rappresentato e parzialmente documentato la condizione generale del proprio paese. Pertanto, i margini d’incertezza e di dubbio, sulla veridicità della narrazione e sulla gravità della situazione oggettiva, allegata e parzialmente documentata dalla parte, dovevano essere fugati (o confermati) dovevano essere colmati mediante l’esercizio del potere dovere istruttorio officioso ex art. 8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 del 2008 e non utilizzati per rigettare la domanda per difetto di prova, attesa la forte attenuazione dell’onere di personalizzazione del rischio desumibile dai principi esposti.</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Anche il secondo motivo di ricorso è fondato. Secondo il consolidato orientamento di questa Corte (Cass.4139 del 2011; 6879 del 2011; 24544 del 2011), la protezione umanitaria è una misura residuale che presenta caratteristiche necessariamente non coincidenti con quelle riguardanti le misure maggiori. Condizione per il rilascio di un permesso di natura umanitaria ex art. 5, comma 6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286 del 1998, è il riconoscimento di una situazione di vulnerabilità da proteggere alla luce degli obblighi costituzionali ed internazionali gravanti sullo Stato italiano. Del resto, la lettura anche solo testuale dell’art. 32, terzo comma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 del 2008 evidenzia tale diversità. Stabilisce la norma che “Nei casi in cui non accolga la domanda di protezione internazionale e ritenga che possano sussistere gravi motivi di carattere umanitario, la Commissione territoriale trasmette gli atti al questore per l’eventuale rilascio del permesso di soggiorno ai sensi dell’articolo 5, comma 6, del decreto legislativo 25 luglio 1998, n. 286”. Al riguardo questa Corte ha affermato che l’attuale sistema pluralistico delle misure di protezione internazionale, include la tutela residuale costituita dal rilascio di permessi sostenuti da ragioni umanitarie o diverse da quelle proprie della protezione sussidiaria o correlate a condizioni temporali limitate e circoscritte, come previsto dall’art. 32, terzo comma, del d.lgs. n. 25 del 2008, ai sensi del quale le Commissioni territoriali, quando ritengano sussistenti gravi motivi umanitari (evidentemente inidonei ad integrare le </w:t>
      </w:r>
      <w:r w:rsidRPr="00805930">
        <w:rPr>
          <w:rFonts w:ascii="Verdana" w:eastAsia="Times New Roman" w:hAnsi="Verdana" w:cs="Times New Roman"/>
          <w:color w:val="333333"/>
          <w:sz w:val="19"/>
          <w:szCs w:val="19"/>
          <w:lang w:eastAsia="it-IT"/>
        </w:rPr>
        <w:lastRenderedPageBreak/>
        <w:t>condizioni necessarie per la protezione sussidiaria) devono trasmettere gli atti al Questore per l’eventuale rilascio del permesso di soggiorno. (Cass. 4139 del 2011; 6879 del 2011; 24544 del 2011).</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 xml:space="preserve">La Corte d’Appello di Bologna, pertanto, non poteva omettere l’esame della domanda di protezione umanitaria, solo perché non aveva ravvisato la sussistenza delle condizioni di riconoscimento delle misure maggiori, in particolare sotto il profilo (rivelatosi erroneo) della mancanza di collegamento tra situazione soggettiva e condizione generale del paese, essendo invece tenuta a verificare se la </w:t>
      </w:r>
      <w:proofErr w:type="spellStart"/>
      <w:r w:rsidRPr="00805930">
        <w:rPr>
          <w:rFonts w:ascii="Verdana" w:eastAsia="Times New Roman" w:hAnsi="Verdana" w:cs="Times New Roman"/>
          <w:color w:val="333333"/>
          <w:sz w:val="19"/>
          <w:szCs w:val="19"/>
          <w:lang w:eastAsia="it-IT"/>
        </w:rPr>
        <w:t>prospettazione</w:t>
      </w:r>
      <w:proofErr w:type="spellEnd"/>
      <w:r w:rsidRPr="00805930">
        <w:rPr>
          <w:rFonts w:ascii="Verdana" w:eastAsia="Times New Roman" w:hAnsi="Verdana" w:cs="Times New Roman"/>
          <w:color w:val="333333"/>
          <w:sz w:val="19"/>
          <w:szCs w:val="19"/>
          <w:lang w:eastAsia="it-IT"/>
        </w:rPr>
        <w:t xml:space="preserve"> del quadro generale di violenza diffusa ed indiscriminata, accertato dal giudice di primo grado, fosse quanto meno idoneo, pur in mancanza del riconoscimento di credibilità delle dichiarazioni del ricorrente, ad integrare una situazione di vulnerabilità idonea a disporre la trasmissione degli atti al Questore per il rilascio di un permesso di natura umanitaria, non dovendo dal ricorrente essere dedotte ragioni diverse od alternative rispetto a quelle prospettate. Deve essere, infine, osservato rispetto al rigetto di domanda di asilo che alla luce dell’ orientamento di questa Corte, consolidatosi dopo l’entrata in vigore del </w:t>
      </w:r>
      <w:proofErr w:type="spellStart"/>
      <w:r w:rsidRPr="00805930">
        <w:rPr>
          <w:rFonts w:ascii="Verdana" w:eastAsia="Times New Roman" w:hAnsi="Verdana" w:cs="Times New Roman"/>
          <w:color w:val="333333"/>
          <w:sz w:val="19"/>
          <w:szCs w:val="19"/>
          <w:lang w:eastAsia="it-IT"/>
        </w:rPr>
        <w:t>d.lgs</w:t>
      </w:r>
      <w:proofErr w:type="spellEnd"/>
      <w:r w:rsidRPr="00805930">
        <w:rPr>
          <w:rFonts w:ascii="Verdana" w:eastAsia="Times New Roman" w:hAnsi="Verdana" w:cs="Times New Roman"/>
          <w:color w:val="333333"/>
          <w:sz w:val="19"/>
          <w:szCs w:val="19"/>
          <w:lang w:eastAsia="it-IT"/>
        </w:rPr>
        <w:t xml:space="preserve"> n. 251 del 2007 e 25 del 2008, risulta superata la tesi della natura meramente “procedimentale” del diritto d’asilo ex art. 10, terzo comma, Cost., ritenuto alla luce degli arresti citati nella sentenza impugnata limitato all’accesso nel nostro territorio al fine di richiedere protezione internazionale. Con la pronuncia n. 10686 del 2012 al diritto costituzionale di asilo è stata riconosciuta natura sostanziale e se ne è ritenuta compiuta l’attuazione proprio attraverso l’attuale sistema pluralistico della protezione internazionale, comprensivo anche della misura residuale del permesso umanitario. Ha affermato questa Corte che “Il diritto di asilo è interamente attuato e regolato attraverso la previsione delle situazioni finali previste nei tre istituti costituiti dallo “status” di rifugiato, dalla protesone sussidiaria e dal diritto al rilascio di un permesso umanitario, ad opera della esaustiva normativa di cui al d.lgs. 19 novembre 2007, n. 251, adottato in attuazione della Direttiva 2004/83/ CE del Consiglio del 29 aprile 2004, e di cui all’art. 5, comma sesto, del d.lgs. 25 luglio 1998, n. 286″.</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Ne consegue che la domanda avente ad oggetto il riconoscimento delle condizioni di rilascio del permesso umanitario costituisce parte integrante di quella relativa al diritto d’asilo. Anche sotto questo profilo l’omesso esame non risulta legittimo.</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All’accoglimento di entrambi Ì motivi di ricorso, consegue la cassazione con rinvio della sentenza impugnata alla Corte d’Appello di Bologna in diversa composizione perché disponga anche sulle spese.</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P.Q.M.</w:t>
      </w:r>
    </w:p>
    <w:p w:rsidR="00805930" w:rsidRPr="00805930" w:rsidRDefault="00805930" w:rsidP="00805930">
      <w:pPr>
        <w:spacing w:before="100" w:beforeAutospacing="1" w:after="100" w:afterAutospacing="1" w:line="336" w:lineRule="atLeast"/>
        <w:jc w:val="both"/>
        <w:rPr>
          <w:rFonts w:ascii="Verdana" w:eastAsia="Times New Roman" w:hAnsi="Verdana" w:cs="Times New Roman"/>
          <w:color w:val="333333"/>
          <w:sz w:val="19"/>
          <w:szCs w:val="19"/>
          <w:lang w:eastAsia="it-IT"/>
        </w:rPr>
      </w:pPr>
      <w:r w:rsidRPr="00805930">
        <w:rPr>
          <w:rFonts w:ascii="Verdana" w:eastAsia="Times New Roman" w:hAnsi="Verdana" w:cs="Times New Roman"/>
          <w:color w:val="333333"/>
          <w:sz w:val="19"/>
          <w:szCs w:val="19"/>
          <w:lang w:eastAsia="it-IT"/>
        </w:rPr>
        <w:t>Accoglie il ricorso. Cassa la sentenza impugnata e rinvia alla Corte d’Appello di Bologna in diversa composizione.</w:t>
      </w:r>
    </w:p>
    <w:p w:rsidR="008D44BC" w:rsidRDefault="008D44BC"/>
    <w:sectPr w:rsidR="008D44BC" w:rsidSect="008D44B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05930"/>
    <w:rsid w:val="00805930"/>
    <w:rsid w:val="008D44B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D44BC"/>
  </w:style>
  <w:style w:type="paragraph" w:styleId="Titolo2">
    <w:name w:val="heading 2"/>
    <w:basedOn w:val="Normale"/>
    <w:link w:val="Titolo2Carattere"/>
    <w:uiPriority w:val="9"/>
    <w:qFormat/>
    <w:rsid w:val="00805930"/>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805930"/>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80593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805930"/>
    <w:rPr>
      <w:b/>
      <w:bCs/>
    </w:rPr>
  </w:style>
  <w:style w:type="paragraph" w:customStyle="1" w:styleId="normaleconrientro">
    <w:name w:val="normaleconrientro"/>
    <w:basedOn w:val="Normale"/>
    <w:rsid w:val="0080593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itoloarticolo">
    <w:name w:val="titoloarticolo"/>
    <w:basedOn w:val="Normale"/>
    <w:rsid w:val="0080593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946541890">
      <w:bodyDiv w:val="1"/>
      <w:marLeft w:val="0"/>
      <w:marRight w:val="0"/>
      <w:marTop w:val="0"/>
      <w:marBottom w:val="0"/>
      <w:divBdr>
        <w:top w:val="none" w:sz="0" w:space="0" w:color="auto"/>
        <w:left w:val="none" w:sz="0" w:space="0" w:color="auto"/>
        <w:bottom w:val="none" w:sz="0" w:space="0" w:color="auto"/>
        <w:right w:val="none" w:sz="0" w:space="0" w:color="auto"/>
      </w:divBdr>
      <w:divsChild>
        <w:div w:id="1765344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3093</Words>
  <Characters>17634</Characters>
  <Application>Microsoft Office Word</Application>
  <DocSecurity>0</DocSecurity>
  <Lines>146</Lines>
  <Paragraphs>41</Paragraphs>
  <ScaleCrop>false</ScaleCrop>
  <Company/>
  <LinksUpToDate>false</LinksUpToDate>
  <CharactersWithSpaces>20686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2022-06-07T16:26:00Z</dcterms:created>
  <dcterms:modified xsi:type="dcterms:W3CDTF">2022-06-07T16:27:00Z</dcterms:modified>
</cp:coreProperties>
</file>